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42CD" w14:textId="0A42944C" w:rsidR="00EF0A10" w:rsidRDefault="00EF0A10" w:rsidP="00EF0A10">
      <w:pPr>
        <w:spacing w:after="0" w:line="240" w:lineRule="auto"/>
        <w:outlineLvl w:val="0"/>
        <w:rPr>
          <w:rFonts w:ascii="robotoslab-black" w:eastAsia="Times New Roman" w:hAnsi="robotoslab-black" w:cs="Times New Roman"/>
          <w:color w:val="000000"/>
          <w:kern w:val="36"/>
          <w:sz w:val="48"/>
          <w:szCs w:val="48"/>
          <w:lang w:eastAsia="fr-BE"/>
        </w:rPr>
      </w:pPr>
      <w:r w:rsidRPr="00EF0A10">
        <w:rPr>
          <w:rFonts w:ascii="robotoslab-black" w:eastAsia="Times New Roman" w:hAnsi="robotoslab-black" w:cs="Times New Roman"/>
          <w:color w:val="000000"/>
          <w:kern w:val="36"/>
          <w:sz w:val="48"/>
          <w:szCs w:val="48"/>
          <w:lang w:eastAsia="fr-BE"/>
        </w:rPr>
        <w:t>Les constructeurs automobiles vont devoir absorber la flambée des prix des matières premières... Et les clients aussi</w:t>
      </w:r>
    </w:p>
    <w:p w14:paraId="373FDBE9" w14:textId="77777777" w:rsidR="00EF0A10" w:rsidRPr="00EF0A10" w:rsidRDefault="00EF0A10" w:rsidP="00EF0A10">
      <w:pPr>
        <w:spacing w:after="0" w:line="240" w:lineRule="auto"/>
        <w:outlineLvl w:val="0"/>
        <w:rPr>
          <w:rFonts w:ascii="robotoslab-black" w:eastAsia="Times New Roman" w:hAnsi="robotoslab-black" w:cs="Times New Roman"/>
          <w:color w:val="000000"/>
          <w:kern w:val="36"/>
          <w:sz w:val="48"/>
          <w:szCs w:val="48"/>
          <w:lang w:eastAsia="fr-BE"/>
        </w:rPr>
      </w:pPr>
    </w:p>
    <w:p w14:paraId="7E5F922E" w14:textId="77777777" w:rsidR="00EF0A10" w:rsidRDefault="00EF0A10" w:rsidP="00EF0A10">
      <w:pPr>
        <w:spacing w:after="0" w:line="240" w:lineRule="auto"/>
        <w:rPr>
          <w:rFonts w:ascii="arimo-regular" w:eastAsia="Times New Roman" w:hAnsi="arimo-regular" w:cs="Arial"/>
          <w:color w:val="000000"/>
          <w:sz w:val="21"/>
          <w:szCs w:val="21"/>
          <w:lang w:eastAsia="fr-BE"/>
        </w:rPr>
      </w:pPr>
      <w:proofErr w:type="spellStart"/>
      <w:r w:rsidRPr="00EF0A10">
        <w:rPr>
          <w:rFonts w:ascii="arimo-regular" w:eastAsia="Times New Roman" w:hAnsi="arimo-regular" w:cs="Times New Roman"/>
          <w:color w:val="000000"/>
          <w:sz w:val="24"/>
          <w:szCs w:val="24"/>
          <w:lang w:eastAsia="fr-BE"/>
        </w:rPr>
        <w:t>AlixPartners</w:t>
      </w:r>
      <w:proofErr w:type="spellEnd"/>
      <w:r w:rsidRPr="00EF0A10">
        <w:rPr>
          <w:rFonts w:ascii="arimo-regular" w:eastAsia="Times New Roman" w:hAnsi="arimo-regular" w:cs="Times New Roman"/>
          <w:color w:val="000000"/>
          <w:sz w:val="24"/>
          <w:szCs w:val="24"/>
          <w:lang w:eastAsia="fr-BE"/>
        </w:rPr>
        <w:t xml:space="preserve"> décrypte l’effet de l’inflation sur le secteur automobile. Le cabinet met en garde contre la flambée des matières premières, alors que ces surcoûts n'ont pas encore été complètement transférés aux constructeurs et à leurs clients.</w:t>
      </w:r>
    </w:p>
    <w:p w14:paraId="3A4DD4C5" w14:textId="4530DB73" w:rsidR="00EF0A10" w:rsidRPr="00EF0A10" w:rsidRDefault="00EF0A10" w:rsidP="00EF0A10">
      <w:pPr>
        <w:spacing w:after="0" w:line="240" w:lineRule="auto"/>
        <w:rPr>
          <w:rFonts w:ascii="arimo-regular" w:eastAsia="Times New Roman" w:hAnsi="arimo-regular" w:cs="Arial"/>
          <w:color w:val="000000"/>
          <w:sz w:val="21"/>
          <w:szCs w:val="21"/>
          <w:lang w:eastAsia="fr-BE"/>
        </w:rPr>
      </w:pPr>
      <w:r w:rsidRPr="00EF0A10">
        <w:rPr>
          <w:rFonts w:ascii="arimo-regular" w:eastAsia="Times New Roman" w:hAnsi="arimo-regular" w:cs="Arial"/>
          <w:color w:val="000000"/>
          <w:sz w:val="21"/>
          <w:szCs w:val="21"/>
          <w:lang w:eastAsia="fr-BE"/>
        </w:rPr>
        <w:t xml:space="preserve"> </w:t>
      </w:r>
    </w:p>
    <w:p w14:paraId="56E858EA" w14:textId="77777777" w:rsidR="00EF0A10" w:rsidRPr="00EF0A10" w:rsidRDefault="00EF0A10" w:rsidP="00EF0A10">
      <w:pPr>
        <w:spacing w:after="0" w:line="240" w:lineRule="auto"/>
        <w:rPr>
          <w:rFonts w:ascii="arimo-regular" w:eastAsia="Times New Roman" w:hAnsi="arimo-regular" w:cs="Arial"/>
          <w:color w:val="000000"/>
          <w:sz w:val="21"/>
          <w:szCs w:val="21"/>
          <w:lang w:eastAsia="fr-BE"/>
        </w:rPr>
      </w:pPr>
      <w:r w:rsidRPr="00EF0A10">
        <w:rPr>
          <w:rFonts w:ascii="arimo-regular" w:eastAsia="Times New Roman" w:hAnsi="arimo-regular" w:cs="Arial"/>
          <w:color w:val="000000"/>
          <w:sz w:val="21"/>
          <w:szCs w:val="21"/>
          <w:lang w:eastAsia="fr-BE"/>
        </w:rPr>
        <w:t>Des parkings remplis de voitures inachevées. Voilà l’image qui pourrait résumer l’impact </w:t>
      </w:r>
      <w:hyperlink r:id="rId5" w:tgtFrame="_blank" w:history="1">
        <w:r w:rsidRPr="00EF0A10">
          <w:rPr>
            <w:rFonts w:ascii="arimo-regular" w:eastAsia="Times New Roman" w:hAnsi="arimo-regular" w:cs="Arial"/>
            <w:color w:val="000000"/>
            <w:sz w:val="21"/>
            <w:szCs w:val="21"/>
            <w:u w:val="single"/>
            <w:lang w:eastAsia="fr-BE"/>
          </w:rPr>
          <w:t>des pénuries de semi-conducteurs pour les constructeurs automobiles</w:t>
        </w:r>
      </w:hyperlink>
      <w:r w:rsidRPr="00EF0A10">
        <w:rPr>
          <w:rFonts w:ascii="arimo-regular" w:eastAsia="Times New Roman" w:hAnsi="arimo-regular" w:cs="Arial"/>
          <w:color w:val="000000"/>
          <w:sz w:val="21"/>
          <w:szCs w:val="21"/>
          <w:lang w:eastAsia="fr-BE"/>
        </w:rPr>
        <w:t xml:space="preserve">. Jeudi 21 octobre, </w:t>
      </w:r>
      <w:proofErr w:type="spellStart"/>
      <w:r w:rsidRPr="00EF0A10">
        <w:rPr>
          <w:rFonts w:ascii="arimo-regular" w:eastAsia="Times New Roman" w:hAnsi="arimo-regular" w:cs="Arial"/>
          <w:color w:val="000000"/>
          <w:sz w:val="21"/>
          <w:szCs w:val="21"/>
          <w:lang w:eastAsia="fr-BE"/>
        </w:rPr>
        <w:t>AlixPartners</w:t>
      </w:r>
      <w:proofErr w:type="spellEnd"/>
      <w:r w:rsidRPr="00EF0A10">
        <w:rPr>
          <w:rFonts w:ascii="arimo-regular" w:eastAsia="Times New Roman" w:hAnsi="arimo-regular" w:cs="Arial"/>
          <w:color w:val="000000"/>
          <w:sz w:val="21"/>
          <w:szCs w:val="21"/>
          <w:lang w:eastAsia="fr-BE"/>
        </w:rPr>
        <w:t xml:space="preserve"> a rappelé une autre perturbation sur la chaîne d’approvisionnement : la hausse du coût des composants et des matières premières. Selon le cabinet, les effets de l’inflation n’ont été que partiels pour l’instant. Les clients et les constructeurs vont devoir absorber une partie de la hausse des prix.</w:t>
      </w:r>
    </w:p>
    <w:p w14:paraId="47FE8509" w14:textId="77777777" w:rsidR="00EF0A10" w:rsidRDefault="00EF0A10" w:rsidP="00EF0A10">
      <w:pPr>
        <w:spacing w:before="100" w:beforeAutospacing="1" w:after="100" w:afterAutospacing="1" w:line="240" w:lineRule="auto"/>
        <w:rPr>
          <w:rFonts w:ascii="arimo-regular" w:eastAsia="Times New Roman" w:hAnsi="arimo-regular" w:cs="Arial"/>
          <w:color w:val="000000"/>
          <w:sz w:val="21"/>
          <w:szCs w:val="21"/>
          <w:lang w:eastAsia="fr-BE"/>
        </w:rPr>
      </w:pPr>
      <w:proofErr w:type="spellStart"/>
      <w:r w:rsidRPr="00EF0A10">
        <w:rPr>
          <w:rFonts w:ascii="arimo-regular" w:eastAsia="Times New Roman" w:hAnsi="arimo-regular" w:cs="Arial"/>
          <w:color w:val="000000"/>
          <w:sz w:val="21"/>
          <w:szCs w:val="21"/>
          <w:lang w:eastAsia="fr-BE"/>
        </w:rPr>
        <w:t>AlixPartners</w:t>
      </w:r>
      <w:proofErr w:type="spellEnd"/>
      <w:r w:rsidRPr="00EF0A10">
        <w:rPr>
          <w:rFonts w:ascii="arimo-regular" w:eastAsia="Times New Roman" w:hAnsi="arimo-regular" w:cs="Arial"/>
          <w:color w:val="000000"/>
          <w:sz w:val="21"/>
          <w:szCs w:val="21"/>
          <w:lang w:eastAsia="fr-BE"/>
        </w:rPr>
        <w:t xml:space="preserve"> estime que le coût des matières premières atteignait en moyenne 2 580 dollars (environ 2 215 euros) dans les véhicules légers européens en août 2021. Un bond de 87% par rapport aux prix d’août 2019 et un record historique, entraîné par la flambée de l’acier, de l’aluminium ou encore du caoutchouc. </w:t>
      </w:r>
      <w:r w:rsidRPr="00EF0A10">
        <w:rPr>
          <w:rFonts w:ascii="arimo-regular" w:eastAsia="Times New Roman" w:hAnsi="arimo-regular" w:cs="Arial"/>
          <w:i/>
          <w:iCs/>
          <w:color w:val="000000"/>
          <w:sz w:val="21"/>
          <w:szCs w:val="21"/>
          <w:lang w:eastAsia="fr-BE"/>
        </w:rPr>
        <w:t>« Le fléchissement sera lent »</w:t>
      </w:r>
      <w:r w:rsidRPr="00EF0A10">
        <w:rPr>
          <w:rFonts w:ascii="arimo-regular" w:eastAsia="Times New Roman" w:hAnsi="arimo-regular" w:cs="Arial"/>
          <w:color w:val="000000"/>
          <w:sz w:val="21"/>
          <w:szCs w:val="21"/>
          <w:lang w:eastAsia="fr-BE"/>
        </w:rPr>
        <w:t>, prévient le cabinet dans son étude. En décembre 2022, le coût des matières premières dans les voitures européennes devrait toujours s’élever à 2 500 dollars (2 147 euros)</w:t>
      </w:r>
    </w:p>
    <w:p w14:paraId="35A3470E" w14:textId="7543E03D" w:rsidR="00EF0A10" w:rsidRPr="00EF0A10" w:rsidRDefault="00EF0A10" w:rsidP="00EF0A10">
      <w:pPr>
        <w:spacing w:before="100" w:beforeAutospacing="1" w:after="100" w:afterAutospacing="1" w:line="240" w:lineRule="auto"/>
        <w:rPr>
          <w:rFonts w:ascii="arimo-regular" w:eastAsia="Times New Roman" w:hAnsi="arimo-regular" w:cs="Arial"/>
          <w:color w:val="000000"/>
          <w:sz w:val="21"/>
          <w:szCs w:val="21"/>
          <w:lang w:eastAsia="fr-BE"/>
        </w:rPr>
      </w:pPr>
      <w:r w:rsidRPr="00EF0A10">
        <w:rPr>
          <w:rFonts w:ascii="robotoslab-bold" w:eastAsia="Times New Roman" w:hAnsi="robotoslab-bold" w:cs="Arial"/>
          <w:color w:val="000000"/>
          <w:sz w:val="21"/>
          <w:szCs w:val="21"/>
          <w:lang w:eastAsia="fr-BE"/>
        </w:rPr>
        <w:t xml:space="preserve">Pas seulement </w:t>
      </w:r>
      <w:r>
        <w:rPr>
          <w:rFonts w:ascii="robotoslab-bold" w:eastAsia="Times New Roman" w:hAnsi="robotoslab-bold" w:cs="Arial"/>
          <w:color w:val="000000"/>
          <w:sz w:val="21"/>
          <w:szCs w:val="21"/>
          <w:lang w:eastAsia="fr-BE"/>
        </w:rPr>
        <w:t>l</w:t>
      </w:r>
      <w:r w:rsidRPr="00EF0A10">
        <w:rPr>
          <w:rFonts w:ascii="robotoslab-bold" w:eastAsia="Times New Roman" w:hAnsi="robotoslab-bold" w:cs="Arial"/>
          <w:color w:val="000000"/>
          <w:sz w:val="21"/>
          <w:szCs w:val="21"/>
          <w:lang w:eastAsia="fr-BE"/>
        </w:rPr>
        <w:t>es effets conjoncturels</w:t>
      </w:r>
    </w:p>
    <w:p w14:paraId="53E9C471" w14:textId="77777777" w:rsidR="00EF0A10" w:rsidRPr="00EF0A10" w:rsidRDefault="00EF0A10" w:rsidP="00EF0A10">
      <w:pPr>
        <w:spacing w:before="100" w:beforeAutospacing="1" w:after="100" w:afterAutospacing="1" w:line="240" w:lineRule="auto"/>
        <w:rPr>
          <w:rFonts w:ascii="arimo-regular" w:eastAsia="Times New Roman" w:hAnsi="arimo-regular" w:cs="Arial"/>
          <w:color w:val="000000"/>
          <w:sz w:val="21"/>
          <w:szCs w:val="21"/>
          <w:lang w:eastAsia="fr-BE"/>
        </w:rPr>
      </w:pPr>
      <w:r w:rsidRPr="00EF0A10">
        <w:rPr>
          <w:rFonts w:ascii="arimo-regular" w:eastAsia="Times New Roman" w:hAnsi="arimo-regular" w:cs="Arial"/>
          <w:color w:val="000000"/>
          <w:sz w:val="21"/>
          <w:szCs w:val="21"/>
          <w:lang w:eastAsia="fr-BE"/>
        </w:rPr>
        <w:t>À quel point cette crise est-elle temporaire ? Une bonne partie </w:t>
      </w:r>
      <w:hyperlink r:id="rId6" w:tgtFrame="_blank" w:history="1">
        <w:r w:rsidRPr="00EF0A10">
          <w:rPr>
            <w:rFonts w:ascii="arimo-regular" w:eastAsia="Times New Roman" w:hAnsi="arimo-regular" w:cs="Arial"/>
            <w:color w:val="000000"/>
            <w:sz w:val="21"/>
            <w:szCs w:val="21"/>
            <w:u w:val="single"/>
            <w:lang w:eastAsia="fr-BE"/>
          </w:rPr>
          <w:t>du surcoût des matières premières</w:t>
        </w:r>
      </w:hyperlink>
      <w:r w:rsidRPr="00EF0A10">
        <w:rPr>
          <w:rFonts w:ascii="arimo-regular" w:eastAsia="Times New Roman" w:hAnsi="arimo-regular" w:cs="Arial"/>
          <w:color w:val="000000"/>
          <w:sz w:val="21"/>
          <w:szCs w:val="21"/>
          <w:lang w:eastAsia="fr-BE"/>
        </w:rPr>
        <w:t xml:space="preserve"> s’explique par des effets conjoncturels... Mais pas seulement. </w:t>
      </w:r>
      <w:proofErr w:type="spellStart"/>
      <w:r w:rsidRPr="00EF0A10">
        <w:rPr>
          <w:rFonts w:ascii="arimo-regular" w:eastAsia="Times New Roman" w:hAnsi="arimo-regular" w:cs="Arial"/>
          <w:color w:val="000000"/>
          <w:sz w:val="21"/>
          <w:szCs w:val="21"/>
          <w:lang w:eastAsia="fr-BE"/>
        </w:rPr>
        <w:t>AlixPartners</w:t>
      </w:r>
      <w:proofErr w:type="spellEnd"/>
      <w:r w:rsidRPr="00EF0A10">
        <w:rPr>
          <w:rFonts w:ascii="arimo-regular" w:eastAsia="Times New Roman" w:hAnsi="arimo-regular" w:cs="Arial"/>
          <w:color w:val="000000"/>
          <w:sz w:val="21"/>
          <w:szCs w:val="21"/>
          <w:lang w:eastAsia="fr-BE"/>
        </w:rPr>
        <w:t xml:space="preserve"> mentionne des effets réglementaires, avec l’évolution </w:t>
      </w:r>
      <w:hyperlink r:id="rId7" w:tgtFrame="_blank" w:history="1">
        <w:r w:rsidRPr="00EF0A10">
          <w:rPr>
            <w:rFonts w:ascii="arimo-regular" w:eastAsia="Times New Roman" w:hAnsi="arimo-regular" w:cs="Arial"/>
            <w:color w:val="000000"/>
            <w:sz w:val="21"/>
            <w:szCs w:val="21"/>
            <w:u w:val="single"/>
            <w:lang w:eastAsia="fr-BE"/>
          </w:rPr>
          <w:t>du système d’échange de quotas d’émissions au niveau européen</w:t>
        </w:r>
      </w:hyperlink>
      <w:r w:rsidRPr="00EF0A10">
        <w:rPr>
          <w:rFonts w:ascii="arimo-regular" w:eastAsia="Times New Roman" w:hAnsi="arimo-regular" w:cs="Arial"/>
          <w:color w:val="000000"/>
          <w:sz w:val="21"/>
          <w:szCs w:val="21"/>
          <w:lang w:eastAsia="fr-BE"/>
        </w:rPr>
        <w:t>. En 2021, le prix de la tonne de CO2 a dépassé pour la première fois la barre des 60 euros.</w:t>
      </w:r>
    </w:p>
    <w:p w14:paraId="4A221385" w14:textId="77777777" w:rsidR="00EF0A10" w:rsidRPr="00EF0A10" w:rsidRDefault="00EF0A10" w:rsidP="00EF0A10">
      <w:pPr>
        <w:spacing w:before="100" w:beforeAutospacing="1" w:after="100" w:afterAutospacing="1" w:line="240" w:lineRule="auto"/>
        <w:rPr>
          <w:rFonts w:ascii="arimo-regular" w:eastAsia="Times New Roman" w:hAnsi="arimo-regular" w:cs="Arial"/>
          <w:color w:val="000000"/>
          <w:sz w:val="21"/>
          <w:szCs w:val="21"/>
          <w:lang w:eastAsia="fr-BE"/>
        </w:rPr>
      </w:pPr>
      <w:r w:rsidRPr="00EF0A10">
        <w:rPr>
          <w:rFonts w:ascii="arimo-regular" w:eastAsia="Times New Roman" w:hAnsi="arimo-regular" w:cs="Arial"/>
          <w:color w:val="000000"/>
          <w:sz w:val="21"/>
          <w:szCs w:val="21"/>
          <w:lang w:eastAsia="fr-BE"/>
        </w:rPr>
        <w:t xml:space="preserve">Selon </w:t>
      </w:r>
      <w:proofErr w:type="spellStart"/>
      <w:r w:rsidRPr="00EF0A10">
        <w:rPr>
          <w:rFonts w:ascii="arimo-regular" w:eastAsia="Times New Roman" w:hAnsi="arimo-regular" w:cs="Arial"/>
          <w:color w:val="000000"/>
          <w:sz w:val="21"/>
          <w:szCs w:val="21"/>
          <w:lang w:eastAsia="fr-BE"/>
        </w:rPr>
        <w:t>AlixPartners</w:t>
      </w:r>
      <w:proofErr w:type="spellEnd"/>
      <w:r w:rsidRPr="00EF0A10">
        <w:rPr>
          <w:rFonts w:ascii="arimo-regular" w:eastAsia="Times New Roman" w:hAnsi="arimo-regular" w:cs="Arial"/>
          <w:color w:val="000000"/>
          <w:sz w:val="21"/>
          <w:szCs w:val="21"/>
          <w:lang w:eastAsia="fr-BE"/>
        </w:rPr>
        <w:t xml:space="preserve">, ces quotas vont représenter un surcoût de 450 dollars (386 euros) en 2021 pour les matières premières utilisées dans les voitures européennes. </w:t>
      </w:r>
      <w:r w:rsidRPr="00EF0A10">
        <w:rPr>
          <w:rFonts w:ascii="Cambria" w:eastAsia="Times New Roman" w:hAnsi="Cambria" w:cs="Cambria"/>
          <w:color w:val="000000"/>
          <w:sz w:val="21"/>
          <w:szCs w:val="21"/>
          <w:lang w:eastAsia="fr-BE"/>
        </w:rPr>
        <w:t></w:t>
      </w:r>
      <w:r w:rsidRPr="00EF0A10">
        <w:rPr>
          <w:rFonts w:ascii="arimo-regular" w:eastAsia="Times New Roman" w:hAnsi="arimo-regular" w:cs="Arial"/>
          <w:i/>
          <w:iCs/>
          <w:color w:val="000000"/>
          <w:sz w:val="21"/>
          <w:szCs w:val="21"/>
          <w:lang w:eastAsia="fr-BE"/>
        </w:rPr>
        <w:t>« C’est nouveau dans la filière automobile. Ces 450 dollars sont répartis sur toute la chaîne. Cela commence par les sidérurgistes, et puis cela va remonter dans la chaîne »</w:t>
      </w:r>
      <w:r w:rsidRPr="00EF0A10">
        <w:rPr>
          <w:rFonts w:ascii="arimo-regular" w:eastAsia="Times New Roman" w:hAnsi="arimo-regular" w:cs="Arial"/>
          <w:color w:val="000000"/>
          <w:sz w:val="21"/>
          <w:szCs w:val="21"/>
          <w:lang w:eastAsia="fr-BE"/>
        </w:rPr>
        <w:t xml:space="preserve">, observe </w:t>
      </w:r>
      <w:proofErr w:type="spellStart"/>
      <w:r w:rsidRPr="00EF0A10">
        <w:rPr>
          <w:rFonts w:ascii="arimo-regular" w:eastAsia="Times New Roman" w:hAnsi="arimo-regular" w:cs="Arial"/>
          <w:color w:val="000000"/>
          <w:sz w:val="21"/>
          <w:szCs w:val="21"/>
          <w:lang w:eastAsia="fr-BE"/>
        </w:rPr>
        <w:t>Georgéric</w:t>
      </w:r>
      <w:proofErr w:type="spellEnd"/>
      <w:r w:rsidRPr="00EF0A10">
        <w:rPr>
          <w:rFonts w:ascii="arimo-regular" w:eastAsia="Times New Roman" w:hAnsi="arimo-regular" w:cs="Arial"/>
          <w:color w:val="000000"/>
          <w:sz w:val="21"/>
          <w:szCs w:val="21"/>
          <w:lang w:eastAsia="fr-BE"/>
        </w:rPr>
        <w:t xml:space="preserve"> Legros, directeur au sein de l’équipe automobile du bureau parisien d’</w:t>
      </w:r>
      <w:proofErr w:type="spellStart"/>
      <w:r w:rsidRPr="00EF0A10">
        <w:rPr>
          <w:rFonts w:ascii="arimo-regular" w:eastAsia="Times New Roman" w:hAnsi="arimo-regular" w:cs="Arial"/>
          <w:color w:val="000000"/>
          <w:sz w:val="21"/>
          <w:szCs w:val="21"/>
          <w:lang w:eastAsia="fr-BE"/>
        </w:rPr>
        <w:t>AlixPartners</w:t>
      </w:r>
      <w:proofErr w:type="spellEnd"/>
      <w:r w:rsidRPr="00EF0A10">
        <w:rPr>
          <w:rFonts w:ascii="arimo-regular" w:eastAsia="Times New Roman" w:hAnsi="arimo-regular" w:cs="Arial"/>
          <w:color w:val="000000"/>
          <w:sz w:val="21"/>
          <w:szCs w:val="21"/>
          <w:lang w:eastAsia="fr-BE"/>
        </w:rPr>
        <w:t>.</w:t>
      </w:r>
    </w:p>
    <w:p w14:paraId="1853A172" w14:textId="77777777" w:rsidR="00EF0A10" w:rsidRPr="00EF0A10" w:rsidRDefault="00EF0A10" w:rsidP="00EF0A10">
      <w:pPr>
        <w:spacing w:before="100" w:beforeAutospacing="1" w:after="100" w:afterAutospacing="1" w:line="240" w:lineRule="auto"/>
        <w:rPr>
          <w:rFonts w:ascii="arimo-regular" w:eastAsia="Times New Roman" w:hAnsi="arimo-regular" w:cs="Arial"/>
          <w:color w:val="000000"/>
          <w:sz w:val="21"/>
          <w:szCs w:val="21"/>
          <w:lang w:eastAsia="fr-BE"/>
        </w:rPr>
      </w:pPr>
      <w:r w:rsidRPr="00EF0A10">
        <w:rPr>
          <w:rFonts w:ascii="arimo-regular" w:eastAsia="Times New Roman" w:hAnsi="arimo-regular" w:cs="Arial"/>
          <w:color w:val="000000"/>
          <w:sz w:val="21"/>
          <w:szCs w:val="21"/>
          <w:lang w:eastAsia="fr-BE"/>
        </w:rPr>
        <w:t>Autre changement durable : </w:t>
      </w:r>
      <w:hyperlink r:id="rId8" w:tgtFrame="_blank" w:history="1">
        <w:r w:rsidRPr="00EF0A10">
          <w:rPr>
            <w:rFonts w:ascii="arimo-regular" w:eastAsia="Times New Roman" w:hAnsi="arimo-regular" w:cs="Arial"/>
            <w:color w:val="000000"/>
            <w:sz w:val="21"/>
            <w:szCs w:val="21"/>
            <w:u w:val="single"/>
            <w:lang w:eastAsia="fr-BE"/>
          </w:rPr>
          <w:t>la transition électrique qui va encore plus exposer le secteur automobile aux tensions</w:t>
        </w:r>
      </w:hyperlink>
      <w:r w:rsidRPr="00EF0A10">
        <w:rPr>
          <w:rFonts w:ascii="arimo-regular" w:eastAsia="Times New Roman" w:hAnsi="arimo-regular" w:cs="Arial"/>
          <w:color w:val="000000"/>
          <w:sz w:val="21"/>
          <w:szCs w:val="21"/>
          <w:lang w:eastAsia="fr-BE"/>
        </w:rPr>
        <w:t>. Selon les données d’</w:t>
      </w:r>
      <w:proofErr w:type="spellStart"/>
      <w:r w:rsidRPr="00EF0A10">
        <w:rPr>
          <w:rFonts w:ascii="arimo-regular" w:eastAsia="Times New Roman" w:hAnsi="arimo-regular" w:cs="Arial"/>
          <w:color w:val="000000"/>
          <w:sz w:val="21"/>
          <w:szCs w:val="21"/>
          <w:lang w:eastAsia="fr-BE"/>
        </w:rPr>
        <w:t>AlixPartners</w:t>
      </w:r>
      <w:proofErr w:type="spellEnd"/>
      <w:r w:rsidRPr="00EF0A10">
        <w:rPr>
          <w:rFonts w:ascii="arimo-regular" w:eastAsia="Times New Roman" w:hAnsi="arimo-regular" w:cs="Arial"/>
          <w:color w:val="000000"/>
          <w:sz w:val="21"/>
          <w:szCs w:val="21"/>
          <w:lang w:eastAsia="fr-BE"/>
        </w:rPr>
        <w:t>, un véhicule 100% électrique contient 179 kilos de matières premières de plus par rapport à un véhicule thermique. Soit l’équivalent de 2 040 dollars (1 751 euros) en considérant le cours moyen des matériaux en 2021.</w:t>
      </w:r>
    </w:p>
    <w:p w14:paraId="5B655ADE" w14:textId="77777777" w:rsidR="00EF0A10" w:rsidRPr="00EF0A10" w:rsidRDefault="00EF0A10" w:rsidP="00EF0A10">
      <w:pPr>
        <w:spacing w:before="100" w:beforeAutospacing="1" w:after="100" w:afterAutospacing="1" w:line="240" w:lineRule="auto"/>
        <w:rPr>
          <w:rFonts w:ascii="arimo-regular" w:eastAsia="Times New Roman" w:hAnsi="arimo-regular" w:cs="Arial"/>
          <w:color w:val="000000"/>
          <w:sz w:val="21"/>
          <w:szCs w:val="21"/>
          <w:lang w:eastAsia="fr-BE"/>
        </w:rPr>
      </w:pPr>
      <w:r w:rsidRPr="00EF0A10">
        <w:rPr>
          <w:rFonts w:ascii="robotoslab-bold" w:eastAsia="Times New Roman" w:hAnsi="robotoslab-bold" w:cs="Arial"/>
          <w:color w:val="000000"/>
          <w:sz w:val="21"/>
          <w:szCs w:val="21"/>
          <w:lang w:eastAsia="fr-BE"/>
        </w:rPr>
        <w:t>Le surcoût bientôt transféré aux clients</w:t>
      </w:r>
    </w:p>
    <w:p w14:paraId="5A5BE94A" w14:textId="77777777" w:rsidR="00EF0A10" w:rsidRPr="00EF0A10" w:rsidRDefault="00EF0A10" w:rsidP="00EF0A10">
      <w:pPr>
        <w:spacing w:before="100" w:beforeAutospacing="1" w:after="100" w:afterAutospacing="1" w:line="240" w:lineRule="auto"/>
        <w:rPr>
          <w:rFonts w:ascii="arimo-regular" w:eastAsia="Times New Roman" w:hAnsi="arimo-regular" w:cs="Arial"/>
          <w:color w:val="000000"/>
          <w:sz w:val="21"/>
          <w:szCs w:val="21"/>
          <w:lang w:eastAsia="fr-BE"/>
        </w:rPr>
      </w:pPr>
      <w:r w:rsidRPr="00EF0A10">
        <w:rPr>
          <w:rFonts w:ascii="arimo-regular" w:eastAsia="Times New Roman" w:hAnsi="arimo-regular" w:cs="Arial"/>
          <w:color w:val="000000"/>
          <w:sz w:val="21"/>
          <w:szCs w:val="21"/>
          <w:lang w:eastAsia="fr-BE"/>
        </w:rPr>
        <w:t>Qui va absorber l’inflation des matières premières entre les constructeurs, les équipementiers ou les clients ? </w:t>
      </w:r>
      <w:r w:rsidRPr="00EF0A10">
        <w:rPr>
          <w:rFonts w:ascii="arimo-regular" w:eastAsia="Times New Roman" w:hAnsi="arimo-regular" w:cs="Arial"/>
          <w:i/>
          <w:iCs/>
          <w:color w:val="000000"/>
          <w:sz w:val="21"/>
          <w:szCs w:val="21"/>
          <w:lang w:eastAsia="fr-BE"/>
        </w:rPr>
        <w:t>« Les fournisseurs voient immédiatement ce surcoût, mais ne l’ont pas toujours répercuté. Quand il y a une augmentation de 60 ou 80% du coût d’une matière, ce n’est pas soutenable à long terme. Dans l’automobile, les marges sont très serrées »</w:t>
      </w:r>
      <w:r w:rsidRPr="00EF0A10">
        <w:rPr>
          <w:rFonts w:ascii="arimo-regular" w:eastAsia="Times New Roman" w:hAnsi="arimo-regular" w:cs="Arial"/>
          <w:color w:val="000000"/>
          <w:sz w:val="21"/>
          <w:szCs w:val="21"/>
          <w:lang w:eastAsia="fr-BE"/>
        </w:rPr>
        <w:t>, rappelle Alexandre Marian, directeur général au sein de l’équipe automobile du bureau parisien d’</w:t>
      </w:r>
      <w:proofErr w:type="spellStart"/>
      <w:r w:rsidRPr="00EF0A10">
        <w:rPr>
          <w:rFonts w:ascii="arimo-regular" w:eastAsia="Times New Roman" w:hAnsi="arimo-regular" w:cs="Arial"/>
          <w:color w:val="000000"/>
          <w:sz w:val="21"/>
          <w:szCs w:val="21"/>
          <w:lang w:eastAsia="fr-BE"/>
        </w:rPr>
        <w:t>AlixPartners</w:t>
      </w:r>
      <w:proofErr w:type="spellEnd"/>
      <w:r w:rsidRPr="00EF0A10">
        <w:rPr>
          <w:rFonts w:ascii="arimo-regular" w:eastAsia="Times New Roman" w:hAnsi="arimo-regular" w:cs="Arial"/>
          <w:color w:val="000000"/>
          <w:sz w:val="21"/>
          <w:szCs w:val="21"/>
          <w:lang w:eastAsia="fr-BE"/>
        </w:rPr>
        <w:t>.</w:t>
      </w:r>
    </w:p>
    <w:p w14:paraId="13119247" w14:textId="77777777" w:rsidR="00EF0A10" w:rsidRPr="00EF0A10" w:rsidRDefault="00EF0A10" w:rsidP="00EF0A10">
      <w:pPr>
        <w:spacing w:before="100" w:beforeAutospacing="1" w:after="100" w:afterAutospacing="1" w:line="240" w:lineRule="auto"/>
        <w:rPr>
          <w:rFonts w:ascii="arimo-regular" w:eastAsia="Times New Roman" w:hAnsi="arimo-regular" w:cs="Arial"/>
          <w:color w:val="000000"/>
          <w:sz w:val="21"/>
          <w:szCs w:val="21"/>
          <w:lang w:eastAsia="fr-BE"/>
        </w:rPr>
      </w:pPr>
      <w:r w:rsidRPr="00EF0A10">
        <w:rPr>
          <w:rFonts w:ascii="arimo-regular" w:eastAsia="Times New Roman" w:hAnsi="arimo-regular" w:cs="Arial"/>
          <w:i/>
          <w:iCs/>
          <w:color w:val="000000"/>
          <w:sz w:val="21"/>
          <w:szCs w:val="21"/>
          <w:lang w:eastAsia="fr-BE"/>
        </w:rPr>
        <w:t>« Dans des phases inflationnistes comme celle que nous vivons, il faut typiquement 12 à 18 mois pour que la valeur soit transférée au constructeur. Les constructeurs réfléchissent évidemment à transférer tout ou partie de cet impact de coût au consommateur final »</w:t>
      </w:r>
      <w:r w:rsidRPr="00EF0A10">
        <w:rPr>
          <w:rFonts w:ascii="arimo-regular" w:eastAsia="Times New Roman" w:hAnsi="arimo-regular" w:cs="Arial"/>
          <w:color w:val="000000"/>
          <w:sz w:val="21"/>
          <w:szCs w:val="21"/>
          <w:lang w:eastAsia="fr-BE"/>
        </w:rPr>
        <w:t xml:space="preserve">, ajoute Alexandre Marian. L’expert </w:t>
      </w:r>
      <w:r w:rsidRPr="00EF0A10">
        <w:rPr>
          <w:rFonts w:ascii="arimo-regular" w:eastAsia="Times New Roman" w:hAnsi="arimo-regular" w:cs="Arial"/>
          <w:color w:val="000000"/>
          <w:sz w:val="21"/>
          <w:szCs w:val="21"/>
          <w:lang w:eastAsia="fr-BE"/>
        </w:rPr>
        <w:lastRenderedPageBreak/>
        <w:t>rappelle que l’inflation ne concerne pas seulement les matières premières : le coût de la main d'</w:t>
      </w:r>
      <w:proofErr w:type="spellStart"/>
      <w:r w:rsidRPr="00EF0A10">
        <w:rPr>
          <w:rFonts w:ascii="arimo-regular" w:eastAsia="Times New Roman" w:hAnsi="arimo-regular" w:cs="Arial"/>
          <w:color w:val="000000"/>
          <w:sz w:val="21"/>
          <w:szCs w:val="21"/>
          <w:lang w:eastAsia="fr-BE"/>
        </w:rPr>
        <w:t>oeuvre</w:t>
      </w:r>
      <w:proofErr w:type="spellEnd"/>
      <w:r w:rsidRPr="00EF0A10">
        <w:rPr>
          <w:rFonts w:ascii="arimo-regular" w:eastAsia="Times New Roman" w:hAnsi="arimo-regular" w:cs="Arial"/>
          <w:color w:val="000000"/>
          <w:sz w:val="21"/>
          <w:szCs w:val="21"/>
          <w:lang w:eastAsia="fr-BE"/>
        </w:rPr>
        <w:t xml:space="preserve"> augmente en Asie et en Amérique du Nord tandis que les tarifs de la logistique sont poussés à la hausse par </w:t>
      </w:r>
      <w:hyperlink r:id="rId9" w:tgtFrame="_blank" w:history="1">
        <w:r w:rsidRPr="00EF0A10">
          <w:rPr>
            <w:rFonts w:ascii="arimo-regular" w:eastAsia="Times New Roman" w:hAnsi="arimo-regular" w:cs="Arial"/>
            <w:color w:val="000000"/>
            <w:sz w:val="21"/>
            <w:szCs w:val="21"/>
            <w:u w:val="single"/>
            <w:lang w:eastAsia="fr-BE"/>
          </w:rPr>
          <w:t>les prix de l’énergie</w:t>
        </w:r>
      </w:hyperlink>
      <w:r w:rsidRPr="00EF0A10">
        <w:rPr>
          <w:rFonts w:ascii="arimo-regular" w:eastAsia="Times New Roman" w:hAnsi="arimo-regular" w:cs="Arial"/>
          <w:color w:val="000000"/>
          <w:sz w:val="21"/>
          <w:szCs w:val="21"/>
          <w:lang w:eastAsia="fr-BE"/>
        </w:rPr>
        <w:t>.</w:t>
      </w:r>
    </w:p>
    <w:p w14:paraId="242571D4" w14:textId="77777777" w:rsidR="00EF0A10" w:rsidRPr="00EF0A10" w:rsidRDefault="00EF0A10" w:rsidP="00EF0A10">
      <w:pPr>
        <w:spacing w:before="100" w:beforeAutospacing="1" w:after="100" w:afterAutospacing="1" w:line="240" w:lineRule="auto"/>
        <w:rPr>
          <w:rFonts w:ascii="arimo-regular" w:eastAsia="Times New Roman" w:hAnsi="arimo-regular" w:cs="Arial"/>
          <w:color w:val="000000"/>
          <w:sz w:val="21"/>
          <w:szCs w:val="21"/>
          <w:lang w:eastAsia="fr-BE"/>
        </w:rPr>
      </w:pPr>
      <w:r w:rsidRPr="00EF0A10">
        <w:rPr>
          <w:rFonts w:ascii="arimo-regular" w:eastAsia="Times New Roman" w:hAnsi="arimo-regular" w:cs="Arial"/>
          <w:i/>
          <w:iCs/>
          <w:color w:val="000000"/>
          <w:sz w:val="21"/>
          <w:szCs w:val="21"/>
          <w:lang w:eastAsia="fr-BE"/>
        </w:rPr>
        <w:t>« Tous ces coûts pourraient générer une certaine pérennité de l’inflation</w:t>
      </w:r>
      <w:r w:rsidRPr="00EF0A10">
        <w:rPr>
          <w:rFonts w:ascii="arimo-regular" w:eastAsia="Times New Roman" w:hAnsi="arimo-regular" w:cs="Arial"/>
          <w:color w:val="000000"/>
          <w:sz w:val="21"/>
          <w:szCs w:val="21"/>
          <w:lang w:eastAsia="fr-BE"/>
        </w:rPr>
        <w:t>, conclut Alexandre Marian. </w:t>
      </w:r>
      <w:r w:rsidRPr="00EF0A10">
        <w:rPr>
          <w:rFonts w:ascii="arimo-regular" w:eastAsia="Times New Roman" w:hAnsi="arimo-regular" w:cs="Arial"/>
          <w:i/>
          <w:iCs/>
          <w:color w:val="000000"/>
          <w:sz w:val="21"/>
          <w:szCs w:val="21"/>
          <w:lang w:eastAsia="fr-BE"/>
        </w:rPr>
        <w:t>Il y a beaucoup de risques d’impact sur l’augmentation des prix du côté des clients. » </w:t>
      </w:r>
      <w:r w:rsidRPr="00EF0A10">
        <w:rPr>
          <w:rFonts w:ascii="arimo-regular" w:eastAsia="Times New Roman" w:hAnsi="arimo-regular" w:cs="Arial"/>
          <w:color w:val="000000"/>
          <w:sz w:val="21"/>
          <w:szCs w:val="21"/>
          <w:lang w:eastAsia="fr-BE"/>
        </w:rPr>
        <w:t>Une bien mauvaise nouvelle pour les consommateurs : en dix ans, </w:t>
      </w:r>
      <w:hyperlink r:id="rId10" w:tgtFrame="_blank" w:history="1">
        <w:r w:rsidRPr="00EF0A10">
          <w:rPr>
            <w:rFonts w:ascii="arimo-regular" w:eastAsia="Times New Roman" w:hAnsi="arimo-regular" w:cs="Arial"/>
            <w:color w:val="000000"/>
            <w:sz w:val="21"/>
            <w:szCs w:val="21"/>
            <w:u w:val="single"/>
            <w:lang w:eastAsia="fr-BE"/>
          </w:rPr>
          <w:t>le prix des voitures a augmenté de 7 000 euros</w:t>
        </w:r>
      </w:hyperlink>
      <w:r w:rsidRPr="00EF0A10">
        <w:rPr>
          <w:rFonts w:ascii="arimo-regular" w:eastAsia="Times New Roman" w:hAnsi="arimo-regular" w:cs="Arial"/>
          <w:color w:val="000000"/>
          <w:sz w:val="21"/>
          <w:szCs w:val="21"/>
          <w:lang w:eastAsia="fr-BE"/>
        </w:rPr>
        <w:t>, pour atteindre une moyenne de 26 789 euros en 2020.</w:t>
      </w:r>
    </w:p>
    <w:p w14:paraId="51C4E6A9" w14:textId="77777777" w:rsidR="00CD23A6" w:rsidRDefault="00CD23A6"/>
    <w:sectPr w:rsidR="00CD2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slab-black">
    <w:altName w:val="Arial"/>
    <w:panose1 w:val="00000000000000000000"/>
    <w:charset w:val="00"/>
    <w:family w:val="roman"/>
    <w:notTrueType/>
    <w:pitch w:val="default"/>
  </w:font>
  <w:font w:name="arimo-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slab-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B12E9"/>
    <w:multiLevelType w:val="multilevel"/>
    <w:tmpl w:val="724C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10"/>
    <w:rsid w:val="00086BC8"/>
    <w:rsid w:val="00633CB8"/>
    <w:rsid w:val="00CD23A6"/>
    <w:rsid w:val="00EF0A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90D5"/>
  <w15:chartTrackingRefBased/>
  <w15:docId w15:val="{15EDD14C-E5B5-4BBB-8B82-FD4E12DD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788029">
      <w:bodyDiv w:val="1"/>
      <w:marLeft w:val="0"/>
      <w:marRight w:val="0"/>
      <w:marTop w:val="0"/>
      <w:marBottom w:val="0"/>
      <w:divBdr>
        <w:top w:val="none" w:sz="0" w:space="0" w:color="auto"/>
        <w:left w:val="none" w:sz="0" w:space="0" w:color="auto"/>
        <w:bottom w:val="none" w:sz="0" w:space="0" w:color="auto"/>
        <w:right w:val="none" w:sz="0" w:space="0" w:color="auto"/>
      </w:divBdr>
      <w:divsChild>
        <w:div w:id="1511487546">
          <w:marLeft w:val="0"/>
          <w:marRight w:val="0"/>
          <w:marTop w:val="0"/>
          <w:marBottom w:val="0"/>
          <w:divBdr>
            <w:top w:val="none" w:sz="0" w:space="0" w:color="auto"/>
            <w:left w:val="none" w:sz="0" w:space="0" w:color="auto"/>
            <w:bottom w:val="none" w:sz="0" w:space="0" w:color="auto"/>
            <w:right w:val="none" w:sz="0" w:space="0" w:color="auto"/>
          </w:divBdr>
        </w:div>
        <w:div w:id="1759668494">
          <w:marLeft w:val="0"/>
          <w:marRight w:val="0"/>
          <w:marTop w:val="0"/>
          <w:marBottom w:val="0"/>
          <w:divBdr>
            <w:top w:val="none" w:sz="0" w:space="0" w:color="auto"/>
            <w:left w:val="none" w:sz="0" w:space="0" w:color="auto"/>
            <w:bottom w:val="none" w:sz="0" w:space="0" w:color="auto"/>
            <w:right w:val="none" w:sz="0" w:space="0" w:color="auto"/>
          </w:divBdr>
          <w:divsChild>
            <w:div w:id="1286734870">
              <w:marLeft w:val="0"/>
              <w:marRight w:val="0"/>
              <w:marTop w:val="0"/>
              <w:marBottom w:val="0"/>
              <w:divBdr>
                <w:top w:val="none" w:sz="0" w:space="0" w:color="auto"/>
                <w:left w:val="none" w:sz="0" w:space="0" w:color="auto"/>
                <w:bottom w:val="none" w:sz="0" w:space="0" w:color="auto"/>
                <w:right w:val="none" w:sz="0" w:space="0" w:color="auto"/>
              </w:divBdr>
              <w:divsChild>
                <w:div w:id="1799449556">
                  <w:marLeft w:val="0"/>
                  <w:marRight w:val="0"/>
                  <w:marTop w:val="0"/>
                  <w:marBottom w:val="0"/>
                  <w:divBdr>
                    <w:top w:val="none" w:sz="0" w:space="0" w:color="auto"/>
                    <w:left w:val="none" w:sz="0" w:space="0" w:color="auto"/>
                    <w:bottom w:val="none" w:sz="0" w:space="0" w:color="auto"/>
                    <w:right w:val="none" w:sz="0" w:space="0" w:color="auto"/>
                  </w:divBdr>
                  <w:divsChild>
                    <w:div w:id="1765765467">
                      <w:marLeft w:val="0"/>
                      <w:marRight w:val="0"/>
                      <w:marTop w:val="0"/>
                      <w:marBottom w:val="0"/>
                      <w:divBdr>
                        <w:top w:val="none" w:sz="0" w:space="0" w:color="auto"/>
                        <w:left w:val="none" w:sz="0" w:space="0" w:color="auto"/>
                        <w:bottom w:val="none" w:sz="0" w:space="0" w:color="auto"/>
                        <w:right w:val="none" w:sz="0" w:space="0" w:color="auto"/>
                      </w:divBdr>
                    </w:div>
                    <w:div w:id="1726950352">
                      <w:marLeft w:val="0"/>
                      <w:marRight w:val="0"/>
                      <w:marTop w:val="0"/>
                      <w:marBottom w:val="0"/>
                      <w:divBdr>
                        <w:top w:val="none" w:sz="0" w:space="0" w:color="auto"/>
                        <w:left w:val="none" w:sz="0" w:space="0" w:color="auto"/>
                        <w:bottom w:val="none" w:sz="0" w:space="0" w:color="auto"/>
                        <w:right w:val="none" w:sz="0" w:space="0" w:color="auto"/>
                      </w:divBdr>
                      <w:divsChild>
                        <w:div w:id="546602741">
                          <w:marLeft w:val="0"/>
                          <w:marRight w:val="0"/>
                          <w:marTop w:val="0"/>
                          <w:marBottom w:val="0"/>
                          <w:divBdr>
                            <w:top w:val="none" w:sz="0" w:space="0" w:color="auto"/>
                            <w:left w:val="none" w:sz="0" w:space="0" w:color="auto"/>
                            <w:bottom w:val="none" w:sz="0" w:space="0" w:color="auto"/>
                            <w:right w:val="none" w:sz="0" w:space="0" w:color="auto"/>
                          </w:divBdr>
                        </w:div>
                        <w:div w:id="904222368">
                          <w:marLeft w:val="0"/>
                          <w:marRight w:val="0"/>
                          <w:marTop w:val="0"/>
                          <w:marBottom w:val="0"/>
                          <w:divBdr>
                            <w:top w:val="none" w:sz="0" w:space="0" w:color="auto"/>
                            <w:left w:val="none" w:sz="0" w:space="0" w:color="auto"/>
                            <w:bottom w:val="none" w:sz="0" w:space="0" w:color="auto"/>
                            <w:right w:val="none" w:sz="0" w:space="0" w:color="auto"/>
                          </w:divBdr>
                        </w:div>
                        <w:div w:id="2068186592">
                          <w:marLeft w:val="0"/>
                          <w:marRight w:val="0"/>
                          <w:marTop w:val="0"/>
                          <w:marBottom w:val="0"/>
                          <w:divBdr>
                            <w:top w:val="none" w:sz="0" w:space="0" w:color="auto"/>
                            <w:left w:val="none" w:sz="0" w:space="0" w:color="auto"/>
                            <w:bottom w:val="none" w:sz="0" w:space="0" w:color="auto"/>
                            <w:right w:val="none" w:sz="0" w:space="0" w:color="auto"/>
                          </w:divBdr>
                          <w:divsChild>
                            <w:div w:id="15548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415">
                  <w:marLeft w:val="-975"/>
                  <w:marRight w:val="0"/>
                  <w:marTop w:val="0"/>
                  <w:marBottom w:val="0"/>
                  <w:divBdr>
                    <w:top w:val="none" w:sz="0" w:space="0" w:color="auto"/>
                    <w:left w:val="none" w:sz="0" w:space="0" w:color="auto"/>
                    <w:bottom w:val="none" w:sz="0" w:space="0" w:color="auto"/>
                    <w:right w:val="none" w:sz="0" w:space="0" w:color="auto"/>
                  </w:divBdr>
                  <w:divsChild>
                    <w:div w:id="1302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8966">
              <w:marLeft w:val="0"/>
              <w:marRight w:val="0"/>
              <w:marTop w:val="0"/>
              <w:marBottom w:val="0"/>
              <w:divBdr>
                <w:top w:val="none" w:sz="0" w:space="0" w:color="auto"/>
                <w:left w:val="none" w:sz="0" w:space="0" w:color="auto"/>
                <w:bottom w:val="none" w:sz="0" w:space="0" w:color="auto"/>
                <w:right w:val="none" w:sz="0" w:space="0" w:color="auto"/>
              </w:divBdr>
              <w:divsChild>
                <w:div w:id="475729596">
                  <w:marLeft w:val="0"/>
                  <w:marRight w:val="0"/>
                  <w:marTop w:val="0"/>
                  <w:marBottom w:val="0"/>
                  <w:divBdr>
                    <w:top w:val="none" w:sz="0" w:space="0" w:color="auto"/>
                    <w:left w:val="none" w:sz="0" w:space="0" w:color="auto"/>
                    <w:bottom w:val="none" w:sz="0" w:space="0" w:color="auto"/>
                    <w:right w:val="none" w:sz="0" w:space="0" w:color="auto"/>
                  </w:divBdr>
                  <w:divsChild>
                    <w:div w:id="1976981877">
                      <w:marLeft w:val="0"/>
                      <w:marRight w:val="0"/>
                      <w:marTop w:val="0"/>
                      <w:marBottom w:val="0"/>
                      <w:divBdr>
                        <w:top w:val="none" w:sz="0" w:space="0" w:color="auto"/>
                        <w:left w:val="none" w:sz="0" w:space="0" w:color="auto"/>
                        <w:bottom w:val="none" w:sz="0" w:space="0" w:color="auto"/>
                        <w:right w:val="none" w:sz="0" w:space="0" w:color="auto"/>
                      </w:divBdr>
                      <w:divsChild>
                        <w:div w:id="1132676771">
                          <w:marLeft w:val="0"/>
                          <w:marRight w:val="0"/>
                          <w:marTop w:val="0"/>
                          <w:marBottom w:val="0"/>
                          <w:divBdr>
                            <w:top w:val="none" w:sz="0" w:space="0" w:color="auto"/>
                            <w:left w:val="none" w:sz="0" w:space="0" w:color="auto"/>
                            <w:bottom w:val="none" w:sz="0" w:space="0" w:color="auto"/>
                            <w:right w:val="none" w:sz="0" w:space="0" w:color="auto"/>
                          </w:divBdr>
                          <w:divsChild>
                            <w:div w:id="12600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1639">
                      <w:marLeft w:val="-4575"/>
                      <w:marRight w:val="0"/>
                      <w:marTop w:val="0"/>
                      <w:marBottom w:val="0"/>
                      <w:divBdr>
                        <w:top w:val="none" w:sz="0" w:space="0" w:color="auto"/>
                        <w:left w:val="none" w:sz="0" w:space="0" w:color="auto"/>
                        <w:bottom w:val="none" w:sz="0" w:space="0" w:color="auto"/>
                        <w:right w:val="none" w:sz="0" w:space="0" w:color="auto"/>
                      </w:divBdr>
                      <w:divsChild>
                        <w:div w:id="976103901">
                          <w:marLeft w:val="0"/>
                          <w:marRight w:val="0"/>
                          <w:marTop w:val="0"/>
                          <w:marBottom w:val="0"/>
                          <w:divBdr>
                            <w:top w:val="none" w:sz="0" w:space="0" w:color="auto"/>
                            <w:left w:val="none" w:sz="0" w:space="0" w:color="auto"/>
                            <w:bottom w:val="none" w:sz="0" w:space="0" w:color="auto"/>
                            <w:right w:val="none" w:sz="0" w:space="0" w:color="auto"/>
                          </w:divBdr>
                          <w:divsChild>
                            <w:div w:id="20275593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5549845">
                      <w:marLeft w:val="0"/>
                      <w:marRight w:val="0"/>
                      <w:marTop w:val="0"/>
                      <w:marBottom w:val="0"/>
                      <w:divBdr>
                        <w:top w:val="none" w:sz="0" w:space="0" w:color="auto"/>
                        <w:left w:val="none" w:sz="0" w:space="0" w:color="auto"/>
                        <w:bottom w:val="none" w:sz="0" w:space="0" w:color="auto"/>
                        <w:right w:val="none" w:sz="0" w:space="0" w:color="auto"/>
                      </w:divBdr>
                    </w:div>
                    <w:div w:id="684669545">
                      <w:marLeft w:val="0"/>
                      <w:marRight w:val="0"/>
                      <w:marTop w:val="0"/>
                      <w:marBottom w:val="0"/>
                      <w:divBdr>
                        <w:top w:val="none" w:sz="0" w:space="0" w:color="auto"/>
                        <w:left w:val="none" w:sz="0" w:space="0" w:color="auto"/>
                        <w:bottom w:val="none" w:sz="0" w:space="0" w:color="auto"/>
                        <w:right w:val="none" w:sz="0" w:space="0" w:color="auto"/>
                      </w:divBdr>
                      <w:divsChild>
                        <w:div w:id="904606662">
                          <w:marLeft w:val="0"/>
                          <w:marRight w:val="0"/>
                          <w:marTop w:val="0"/>
                          <w:marBottom w:val="0"/>
                          <w:divBdr>
                            <w:top w:val="none" w:sz="0" w:space="0" w:color="auto"/>
                            <w:left w:val="none" w:sz="0" w:space="0" w:color="auto"/>
                            <w:bottom w:val="none" w:sz="0" w:space="0" w:color="auto"/>
                            <w:right w:val="none" w:sz="0" w:space="0" w:color="auto"/>
                          </w:divBdr>
                        </w:div>
                        <w:div w:id="1349985297">
                          <w:marLeft w:val="0"/>
                          <w:marRight w:val="0"/>
                          <w:marTop w:val="0"/>
                          <w:marBottom w:val="0"/>
                          <w:divBdr>
                            <w:top w:val="none" w:sz="0" w:space="0" w:color="auto"/>
                            <w:left w:val="none" w:sz="0" w:space="0" w:color="auto"/>
                            <w:bottom w:val="none" w:sz="0" w:space="0" w:color="auto"/>
                            <w:right w:val="none" w:sz="0" w:space="0" w:color="auto"/>
                          </w:divBdr>
                        </w:div>
                      </w:divsChild>
                    </w:div>
                    <w:div w:id="2034376944">
                      <w:marLeft w:val="0"/>
                      <w:marRight w:val="0"/>
                      <w:marTop w:val="0"/>
                      <w:marBottom w:val="0"/>
                      <w:divBdr>
                        <w:top w:val="none" w:sz="0" w:space="0" w:color="auto"/>
                        <w:left w:val="none" w:sz="0" w:space="0" w:color="auto"/>
                        <w:bottom w:val="none" w:sz="0" w:space="0" w:color="auto"/>
                        <w:right w:val="none" w:sz="0" w:space="0" w:color="auto"/>
                      </w:divBdr>
                      <w:divsChild>
                        <w:div w:id="217060803">
                          <w:marLeft w:val="0"/>
                          <w:marRight w:val="0"/>
                          <w:marTop w:val="0"/>
                          <w:marBottom w:val="0"/>
                          <w:divBdr>
                            <w:top w:val="none" w:sz="0" w:space="0" w:color="auto"/>
                            <w:left w:val="none" w:sz="0" w:space="0" w:color="auto"/>
                            <w:bottom w:val="none" w:sz="0" w:space="0" w:color="auto"/>
                            <w:right w:val="none" w:sz="0" w:space="0" w:color="auto"/>
                          </w:divBdr>
                          <w:divsChild>
                            <w:div w:id="2080129619">
                              <w:marLeft w:val="0"/>
                              <w:marRight w:val="0"/>
                              <w:marTop w:val="0"/>
                              <w:marBottom w:val="0"/>
                              <w:divBdr>
                                <w:top w:val="none" w:sz="0" w:space="0" w:color="auto"/>
                                <w:left w:val="none" w:sz="0" w:space="0" w:color="auto"/>
                                <w:bottom w:val="none" w:sz="0" w:space="0" w:color="auto"/>
                                <w:right w:val="none" w:sz="0" w:space="0" w:color="auto"/>
                              </w:divBdr>
                              <w:divsChild>
                                <w:div w:id="518737851">
                                  <w:marLeft w:val="0"/>
                                  <w:marRight w:val="0"/>
                                  <w:marTop w:val="0"/>
                                  <w:marBottom w:val="0"/>
                                  <w:divBdr>
                                    <w:top w:val="none" w:sz="0" w:space="0" w:color="auto"/>
                                    <w:left w:val="none" w:sz="0" w:space="0" w:color="auto"/>
                                    <w:bottom w:val="none" w:sz="0" w:space="0" w:color="auto"/>
                                    <w:right w:val="none" w:sz="0" w:space="0" w:color="auto"/>
                                  </w:divBdr>
                                  <w:divsChild>
                                    <w:div w:id="174805454">
                                      <w:marLeft w:val="0"/>
                                      <w:marRight w:val="0"/>
                                      <w:marTop w:val="0"/>
                                      <w:marBottom w:val="0"/>
                                      <w:divBdr>
                                        <w:top w:val="none" w:sz="0" w:space="0" w:color="auto"/>
                                        <w:left w:val="none" w:sz="0" w:space="0" w:color="auto"/>
                                        <w:bottom w:val="none" w:sz="0" w:space="0" w:color="auto"/>
                                        <w:right w:val="none" w:sz="0" w:space="0" w:color="auto"/>
                                      </w:divBdr>
                                      <w:divsChild>
                                        <w:div w:id="1054810287">
                                          <w:marLeft w:val="0"/>
                                          <w:marRight w:val="0"/>
                                          <w:marTop w:val="0"/>
                                          <w:marBottom w:val="0"/>
                                          <w:divBdr>
                                            <w:top w:val="none" w:sz="0" w:space="0" w:color="auto"/>
                                            <w:left w:val="none" w:sz="0" w:space="0" w:color="auto"/>
                                            <w:bottom w:val="none" w:sz="0" w:space="0" w:color="auto"/>
                                            <w:right w:val="none" w:sz="0" w:space="0" w:color="auto"/>
                                          </w:divBdr>
                                        </w:div>
                                      </w:divsChild>
                                    </w:div>
                                    <w:div w:id="140972184">
                                      <w:marLeft w:val="0"/>
                                      <w:marRight w:val="0"/>
                                      <w:marTop w:val="0"/>
                                      <w:marBottom w:val="0"/>
                                      <w:divBdr>
                                        <w:top w:val="none" w:sz="0" w:space="0" w:color="auto"/>
                                        <w:left w:val="none" w:sz="0" w:space="0" w:color="auto"/>
                                        <w:bottom w:val="none" w:sz="0" w:space="0" w:color="auto"/>
                                        <w:right w:val="none" w:sz="0" w:space="0" w:color="auto"/>
                                      </w:divBdr>
                                    </w:div>
                                  </w:divsChild>
                                </w:div>
                                <w:div w:id="950359062">
                                  <w:marLeft w:val="0"/>
                                  <w:marRight w:val="0"/>
                                  <w:marTop w:val="0"/>
                                  <w:marBottom w:val="0"/>
                                  <w:divBdr>
                                    <w:top w:val="none" w:sz="0" w:space="0" w:color="auto"/>
                                    <w:left w:val="none" w:sz="0" w:space="0" w:color="auto"/>
                                    <w:bottom w:val="none" w:sz="0" w:space="0" w:color="auto"/>
                                    <w:right w:val="none" w:sz="0" w:space="0" w:color="auto"/>
                                  </w:divBdr>
                                  <w:divsChild>
                                    <w:div w:id="562525473">
                                      <w:marLeft w:val="0"/>
                                      <w:marRight w:val="0"/>
                                      <w:marTop w:val="0"/>
                                      <w:marBottom w:val="0"/>
                                      <w:divBdr>
                                        <w:top w:val="none" w:sz="0" w:space="0" w:color="auto"/>
                                        <w:left w:val="none" w:sz="0" w:space="0" w:color="auto"/>
                                        <w:bottom w:val="none" w:sz="0" w:space="0" w:color="auto"/>
                                        <w:right w:val="none" w:sz="0" w:space="0" w:color="auto"/>
                                      </w:divBdr>
                                      <w:divsChild>
                                        <w:div w:id="1852992095">
                                          <w:marLeft w:val="0"/>
                                          <w:marRight w:val="0"/>
                                          <w:marTop w:val="0"/>
                                          <w:marBottom w:val="0"/>
                                          <w:divBdr>
                                            <w:top w:val="none" w:sz="0" w:space="0" w:color="auto"/>
                                            <w:left w:val="none" w:sz="0" w:space="0" w:color="auto"/>
                                            <w:bottom w:val="none" w:sz="0" w:space="0" w:color="auto"/>
                                            <w:right w:val="none" w:sz="0" w:space="0" w:color="auto"/>
                                          </w:divBdr>
                                        </w:div>
                                      </w:divsChild>
                                    </w:div>
                                    <w:div w:id="365108915">
                                      <w:marLeft w:val="0"/>
                                      <w:marRight w:val="0"/>
                                      <w:marTop w:val="0"/>
                                      <w:marBottom w:val="0"/>
                                      <w:divBdr>
                                        <w:top w:val="none" w:sz="0" w:space="0" w:color="auto"/>
                                        <w:left w:val="none" w:sz="0" w:space="0" w:color="auto"/>
                                        <w:bottom w:val="none" w:sz="0" w:space="0" w:color="auto"/>
                                        <w:right w:val="none" w:sz="0" w:space="0" w:color="auto"/>
                                      </w:divBdr>
                                    </w:div>
                                  </w:divsChild>
                                </w:div>
                                <w:div w:id="633869754">
                                  <w:marLeft w:val="0"/>
                                  <w:marRight w:val="0"/>
                                  <w:marTop w:val="0"/>
                                  <w:marBottom w:val="0"/>
                                  <w:divBdr>
                                    <w:top w:val="none" w:sz="0" w:space="0" w:color="auto"/>
                                    <w:left w:val="none" w:sz="0" w:space="0" w:color="auto"/>
                                    <w:bottom w:val="none" w:sz="0" w:space="0" w:color="auto"/>
                                    <w:right w:val="none" w:sz="0" w:space="0" w:color="auto"/>
                                  </w:divBdr>
                                  <w:divsChild>
                                    <w:div w:id="1815945676">
                                      <w:marLeft w:val="0"/>
                                      <w:marRight w:val="0"/>
                                      <w:marTop w:val="0"/>
                                      <w:marBottom w:val="0"/>
                                      <w:divBdr>
                                        <w:top w:val="none" w:sz="0" w:space="0" w:color="auto"/>
                                        <w:left w:val="none" w:sz="0" w:space="0" w:color="auto"/>
                                        <w:bottom w:val="none" w:sz="0" w:space="0" w:color="auto"/>
                                        <w:right w:val="none" w:sz="0" w:space="0" w:color="auto"/>
                                      </w:divBdr>
                                      <w:divsChild>
                                        <w:div w:id="180945334">
                                          <w:marLeft w:val="0"/>
                                          <w:marRight w:val="0"/>
                                          <w:marTop w:val="0"/>
                                          <w:marBottom w:val="0"/>
                                          <w:divBdr>
                                            <w:top w:val="none" w:sz="0" w:space="0" w:color="auto"/>
                                            <w:left w:val="none" w:sz="0" w:space="0" w:color="auto"/>
                                            <w:bottom w:val="none" w:sz="0" w:space="0" w:color="auto"/>
                                            <w:right w:val="none" w:sz="0" w:space="0" w:color="auto"/>
                                          </w:divBdr>
                                        </w:div>
                                      </w:divsChild>
                                    </w:div>
                                    <w:div w:id="16251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nenouvelle.com/article/matieres-premieres-recyclage-les-defis-qui-attendent-la-filiere-europeenne-de-production-de-batteries.N1146697" TargetMode="External"/><Relationship Id="rId3" Type="http://schemas.openxmlformats.org/officeDocument/2006/relationships/settings" Target="settings.xml"/><Relationship Id="rId7" Type="http://schemas.openxmlformats.org/officeDocument/2006/relationships/hyperlink" Target="https://www.usinenouvelle.com/article/a-la-taxe-carbone-aux-frontieres-de-l-europe-la-metallurgie-preferait-les-quotas-gratuits-ou-les-deux.N11244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editorial/rapport-cyclope-pourquoi-la-flambee-des-cours-des-matieres-premieres-n-est-pas-due-a-un-super-cycle.N1096609" TargetMode="External"/><Relationship Id="rId11" Type="http://schemas.openxmlformats.org/officeDocument/2006/relationships/fontTable" Target="fontTable.xml"/><Relationship Id="rId5" Type="http://schemas.openxmlformats.org/officeDocument/2006/relationships/hyperlink" Target="https://www.usinenouvelle.com/article/comprendre-la-penurie-de-puces-automobiles-et-ses-impacts-en-cinq-points.N1061574" TargetMode="External"/><Relationship Id="rId10" Type="http://schemas.openxmlformats.org/officeDocument/2006/relationships/hyperlink" Target="https://www.usinenouvelle.com/article/mobil-idees-les-salons-automobiles-une-espece-en-voie-d-extinction.N1148872" TargetMode="External"/><Relationship Id="rId4" Type="http://schemas.openxmlformats.org/officeDocument/2006/relationships/webSettings" Target="webSettings.xml"/><Relationship Id="rId9" Type="http://schemas.openxmlformats.org/officeDocument/2006/relationships/hyperlink" Target="https://www.usinenouvelle.com/article/pourquoi-le-prix-de-gros-de-l-electricite-atteint-des-sommets.N11397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761</Words>
  <Characters>4191</Characters>
  <Application>Microsoft Office Word</Application>
  <DocSecurity>0</DocSecurity>
  <Lines>34</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2</cp:revision>
  <dcterms:created xsi:type="dcterms:W3CDTF">2021-10-26T07:59:00Z</dcterms:created>
  <dcterms:modified xsi:type="dcterms:W3CDTF">2021-10-26T08:01:00Z</dcterms:modified>
</cp:coreProperties>
</file>